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C9" w:rsidRDefault="002607BB">
      <w:pPr>
        <w:rPr>
          <w:rFonts w:ascii="Grundschrift" w:hAnsi="Grundschrift" w:cs="Arial"/>
          <w:b/>
          <w:sz w:val="28"/>
          <w:szCs w:val="28"/>
        </w:rPr>
      </w:pPr>
      <w:r>
        <w:rPr>
          <w:rFonts w:ascii="Grundschrift" w:hAnsi="Grundschrift" w:cs="Arial"/>
          <w:b/>
          <w:sz w:val="28"/>
          <w:szCs w:val="28"/>
        </w:rPr>
        <w:t>Definition der Lernzeit an der MGS</w:t>
      </w:r>
    </w:p>
    <w:p w:rsidR="002607BB" w:rsidRDefault="002607BB">
      <w:pPr>
        <w:rPr>
          <w:rFonts w:ascii="Grundschrift" w:hAnsi="Grundschrift" w:cs="Arial"/>
          <w:b/>
          <w:sz w:val="28"/>
          <w:szCs w:val="28"/>
        </w:rPr>
      </w:pPr>
    </w:p>
    <w:p w:rsidR="002607BB" w:rsidRDefault="002607BB" w:rsidP="002607BB">
      <w:pPr>
        <w:pStyle w:val="StandardWeb"/>
        <w:shd w:val="clear" w:color="auto" w:fill="FFFFFF"/>
        <w:spacing w:after="150"/>
        <w:rPr>
          <w:rFonts w:ascii="Grundschrift" w:eastAsia="Times New Roman" w:hAnsi="Grundschrift" w:cs="Helvetica"/>
          <w:color w:val="333333"/>
          <w:lang w:eastAsia="de-DE"/>
        </w:rPr>
      </w:pPr>
      <w:r>
        <w:rPr>
          <w:rFonts w:ascii="Grundschrift" w:eastAsia="Times New Roman" w:hAnsi="Grundschrift" w:cs="Helvetica"/>
          <w:color w:val="333333"/>
          <w:lang w:eastAsia="de-DE"/>
        </w:rPr>
        <w:t xml:space="preserve">Lernzeiten, im </w:t>
      </w:r>
      <w:r w:rsidRPr="00E00141">
        <w:rPr>
          <w:rFonts w:ascii="Grundschrift" w:eastAsia="Times New Roman" w:hAnsi="Grundschrift" w:cs="Helvetica"/>
          <w:color w:val="333333"/>
          <w:lang w:eastAsia="de-DE"/>
        </w:rPr>
        <w:t>Sinne von </w:t>
      </w:r>
      <w:r w:rsidRPr="00E00141">
        <w:rPr>
          <w:rFonts w:ascii="Grundschrift" w:eastAsia="Times New Roman" w:hAnsi="Grundschrift" w:cs="Helvetica"/>
          <w:iCs/>
          <w:color w:val="333333"/>
          <w:lang w:eastAsia="de-DE"/>
        </w:rPr>
        <w:t>Zeiten zum selbstgesteuerten Arbeiten</w:t>
      </w:r>
      <w:r w:rsidRPr="00E00141">
        <w:rPr>
          <w:rFonts w:ascii="Grundschrift" w:eastAsia="Times New Roman" w:hAnsi="Grundschrift" w:cs="Helvetica"/>
          <w:color w:val="333333"/>
          <w:lang w:eastAsia="de-DE"/>
        </w:rPr>
        <w:t>, bieten</w:t>
      </w:r>
      <w:r>
        <w:rPr>
          <w:rFonts w:ascii="Grundschrift" w:eastAsia="Times New Roman" w:hAnsi="Grundschrift" w:cs="Helvetica"/>
          <w:color w:val="333333"/>
          <w:lang w:eastAsia="de-DE"/>
        </w:rPr>
        <w:t xml:space="preserve"> insbesondere Möglichkeiten,</w:t>
      </w:r>
    </w:p>
    <w:p w:rsidR="002607BB" w:rsidRDefault="002607BB" w:rsidP="002607BB">
      <w:pPr>
        <w:numPr>
          <w:ilvl w:val="0"/>
          <w:numId w:val="1"/>
        </w:numPr>
        <w:shd w:val="clear" w:color="auto" w:fill="FFFFFF"/>
        <w:spacing w:before="100" w:beforeAutospacing="1" w:after="150" w:line="240" w:lineRule="auto"/>
        <w:ind w:left="0"/>
        <w:rPr>
          <w:rFonts w:ascii="Grundschrift" w:eastAsia="Times New Roman" w:hAnsi="Grundschrift" w:cs="Helvetica"/>
          <w:color w:val="333333"/>
          <w:sz w:val="24"/>
          <w:szCs w:val="24"/>
          <w:lang w:eastAsia="de-DE"/>
        </w:rPr>
      </w:pPr>
      <w:r>
        <w:rPr>
          <w:rFonts w:ascii="Grundschrift" w:eastAsia="Times New Roman" w:hAnsi="Grundschrift" w:cs="Helvetica"/>
          <w:color w:val="333333"/>
          <w:sz w:val="24"/>
          <w:szCs w:val="24"/>
          <w:lang w:eastAsia="de-DE"/>
        </w:rPr>
        <w:t>die individuelle Förderung und Forderung zu unterstützen,</w:t>
      </w:r>
      <w:bookmarkStart w:id="0" w:name="_GoBack"/>
      <w:bookmarkEnd w:id="0"/>
    </w:p>
    <w:p w:rsidR="002607BB" w:rsidRDefault="002607BB" w:rsidP="002607BB">
      <w:pPr>
        <w:numPr>
          <w:ilvl w:val="0"/>
          <w:numId w:val="1"/>
        </w:numPr>
        <w:shd w:val="clear" w:color="auto" w:fill="FFFFFF"/>
        <w:spacing w:before="100" w:beforeAutospacing="1" w:after="150" w:line="240" w:lineRule="auto"/>
        <w:ind w:left="0"/>
        <w:rPr>
          <w:rFonts w:ascii="Grundschrift" w:eastAsia="Times New Roman" w:hAnsi="Grundschrift" w:cs="Helvetica"/>
          <w:color w:val="333333"/>
          <w:sz w:val="24"/>
          <w:szCs w:val="24"/>
          <w:lang w:eastAsia="de-DE"/>
        </w:rPr>
      </w:pPr>
      <w:r>
        <w:rPr>
          <w:rFonts w:ascii="Grundschrift" w:eastAsia="Times New Roman" w:hAnsi="Grundschrift" w:cs="Helvetica"/>
          <w:color w:val="333333"/>
          <w:sz w:val="24"/>
          <w:szCs w:val="24"/>
          <w:lang w:eastAsia="de-DE"/>
        </w:rPr>
        <w:t>die Selbstlernkompetenz und die Eigenverantwortlichkeit für den Lernfortschritt zu fördern,</w:t>
      </w:r>
    </w:p>
    <w:p w:rsidR="002607BB" w:rsidRDefault="002607BB" w:rsidP="002607BB">
      <w:pPr>
        <w:numPr>
          <w:ilvl w:val="0"/>
          <w:numId w:val="1"/>
        </w:numPr>
        <w:shd w:val="clear" w:color="auto" w:fill="FFFFFF"/>
        <w:spacing w:before="100" w:beforeAutospacing="1" w:after="150" w:line="240" w:lineRule="auto"/>
        <w:ind w:left="0"/>
        <w:rPr>
          <w:rFonts w:ascii="Grundschrift" w:eastAsia="Times New Roman" w:hAnsi="Grundschrift" w:cs="Helvetica"/>
          <w:color w:val="333333"/>
          <w:sz w:val="24"/>
          <w:szCs w:val="24"/>
          <w:lang w:eastAsia="de-DE"/>
        </w:rPr>
      </w:pPr>
      <w:r>
        <w:rPr>
          <w:rFonts w:ascii="Grundschrift" w:eastAsia="Times New Roman" w:hAnsi="Grundschrift" w:cs="Helvetica"/>
          <w:color w:val="333333"/>
          <w:sz w:val="24"/>
          <w:szCs w:val="24"/>
          <w:lang w:eastAsia="de-DE"/>
        </w:rPr>
        <w:t>fachliche und überfachliche Kompetenzen der Schülerinnen und Schüler zu fördern,</w:t>
      </w:r>
    </w:p>
    <w:p w:rsidR="002607BB" w:rsidRDefault="002607BB" w:rsidP="002607BB">
      <w:pPr>
        <w:numPr>
          <w:ilvl w:val="0"/>
          <w:numId w:val="1"/>
        </w:numPr>
        <w:shd w:val="clear" w:color="auto" w:fill="FFFFFF"/>
        <w:spacing w:before="100" w:beforeAutospacing="1" w:after="150" w:line="240" w:lineRule="auto"/>
        <w:ind w:left="0"/>
        <w:rPr>
          <w:rFonts w:ascii="Grundschrift" w:eastAsia="Times New Roman" w:hAnsi="Grundschrift" w:cs="Helvetica"/>
          <w:color w:val="333333"/>
          <w:sz w:val="24"/>
          <w:szCs w:val="24"/>
          <w:lang w:eastAsia="de-DE"/>
        </w:rPr>
      </w:pPr>
      <w:r>
        <w:rPr>
          <w:rFonts w:ascii="Grundschrift" w:eastAsia="Times New Roman" w:hAnsi="Grundschrift" w:cs="Helvetica"/>
          <w:color w:val="333333"/>
          <w:sz w:val="24"/>
          <w:szCs w:val="24"/>
          <w:lang w:eastAsia="de-DE"/>
        </w:rPr>
        <w:t>eventuelle Nachteile von Lernenden auszugleichen, die ggf. außerhalb der Schule nur eingeschränkt Unterstützung erhalten,</w:t>
      </w:r>
    </w:p>
    <w:p w:rsidR="002607BB" w:rsidRDefault="002607BB" w:rsidP="002607BB">
      <w:pPr>
        <w:numPr>
          <w:ilvl w:val="0"/>
          <w:numId w:val="1"/>
        </w:numPr>
        <w:shd w:val="clear" w:color="auto" w:fill="FFFFFF"/>
        <w:spacing w:before="100" w:beforeAutospacing="1" w:after="150" w:line="240" w:lineRule="auto"/>
        <w:ind w:left="0"/>
        <w:rPr>
          <w:rFonts w:ascii="Grundschrift" w:eastAsia="Times New Roman" w:hAnsi="Grundschrift" w:cs="Helvetica"/>
          <w:color w:val="333333"/>
          <w:sz w:val="24"/>
          <w:szCs w:val="24"/>
          <w:lang w:eastAsia="de-DE"/>
        </w:rPr>
      </w:pPr>
      <w:r>
        <w:rPr>
          <w:rFonts w:ascii="Grundschrift" w:eastAsia="Times New Roman" w:hAnsi="Grundschrift" w:cs="Helvetica"/>
          <w:color w:val="333333"/>
          <w:sz w:val="24"/>
          <w:szCs w:val="24"/>
          <w:lang w:eastAsia="de-DE"/>
        </w:rPr>
        <w:t>Schülerinnen und Schüler beim Lernen mit pädagogischem Blick zu beobachten und ggf. Hilfe zur Selbsthilfe zu leisten,</w:t>
      </w:r>
    </w:p>
    <w:p w:rsidR="002607BB" w:rsidRDefault="002607BB" w:rsidP="002607BB">
      <w:pPr>
        <w:numPr>
          <w:ilvl w:val="0"/>
          <w:numId w:val="1"/>
        </w:numPr>
        <w:shd w:val="clear" w:color="auto" w:fill="FFFFFF"/>
        <w:spacing w:before="100" w:beforeAutospacing="1" w:after="150" w:line="240" w:lineRule="auto"/>
        <w:ind w:left="0"/>
        <w:rPr>
          <w:rFonts w:ascii="Grundschrift" w:eastAsia="Times New Roman" w:hAnsi="Grundschrift" w:cs="Helvetica"/>
          <w:color w:val="333333"/>
          <w:sz w:val="24"/>
          <w:szCs w:val="24"/>
          <w:lang w:eastAsia="de-DE"/>
        </w:rPr>
      </w:pPr>
      <w:r>
        <w:rPr>
          <w:rFonts w:ascii="Grundschrift" w:eastAsia="Times New Roman" w:hAnsi="Grundschrift" w:cs="Helvetica"/>
          <w:color w:val="333333"/>
          <w:sz w:val="24"/>
          <w:szCs w:val="24"/>
          <w:lang w:eastAsia="de-DE"/>
        </w:rPr>
        <w:t>das im Unterricht Erarbeitete einzuprägen, einzuüben, anzuwenden und mit Vor- oder Methodenwissen zu vernetzen,</w:t>
      </w:r>
    </w:p>
    <w:p w:rsidR="002607BB" w:rsidRDefault="002607BB" w:rsidP="002607BB">
      <w:pPr>
        <w:numPr>
          <w:ilvl w:val="0"/>
          <w:numId w:val="1"/>
        </w:numPr>
        <w:shd w:val="clear" w:color="auto" w:fill="FFFFFF"/>
        <w:spacing w:before="100" w:beforeAutospacing="1" w:after="150" w:line="240" w:lineRule="auto"/>
        <w:ind w:left="0"/>
        <w:rPr>
          <w:rFonts w:ascii="Grundschrift" w:eastAsia="Times New Roman" w:hAnsi="Grundschrift" w:cs="Helvetica"/>
          <w:color w:val="333333"/>
          <w:sz w:val="24"/>
          <w:szCs w:val="24"/>
          <w:lang w:eastAsia="de-DE"/>
        </w:rPr>
      </w:pPr>
      <w:r w:rsidRPr="002607BB">
        <w:rPr>
          <w:rFonts w:ascii="Grundschrift" w:eastAsia="Times New Roman" w:hAnsi="Grundschrift" w:cs="Helvetica"/>
          <w:color w:val="333333"/>
          <w:sz w:val="24"/>
          <w:szCs w:val="24"/>
          <w:lang w:eastAsia="de-DE"/>
        </w:rPr>
        <w:t>in ihrem Schwierigkeitsgrad und Umfang die Leistungsfähigkeit, Belastbarkeit und Neigungen der Schülerinnen</w:t>
      </w:r>
      <w:r>
        <w:rPr>
          <w:rFonts w:ascii="Grundschrift" w:eastAsia="Times New Roman" w:hAnsi="Grundschrift" w:cs="Helvetica"/>
          <w:color w:val="333333"/>
          <w:sz w:val="24"/>
          <w:szCs w:val="24"/>
          <w:lang w:eastAsia="de-DE"/>
        </w:rPr>
        <w:t xml:space="preserve"> und Schüler zu berücksichtigen</w:t>
      </w:r>
    </w:p>
    <w:p w:rsidR="002607BB" w:rsidRPr="002607BB" w:rsidRDefault="002607BB" w:rsidP="002607BB">
      <w:pPr>
        <w:numPr>
          <w:ilvl w:val="0"/>
          <w:numId w:val="1"/>
        </w:numPr>
        <w:shd w:val="clear" w:color="auto" w:fill="FFFFFF"/>
        <w:spacing w:before="100" w:beforeAutospacing="1" w:after="150" w:line="240" w:lineRule="auto"/>
        <w:ind w:left="0"/>
        <w:rPr>
          <w:rFonts w:ascii="Grundschrift" w:eastAsia="Times New Roman" w:hAnsi="Grundschrift" w:cs="Helvetica"/>
          <w:color w:val="333333"/>
          <w:sz w:val="24"/>
          <w:szCs w:val="24"/>
          <w:lang w:eastAsia="de-DE"/>
        </w:rPr>
      </w:pPr>
      <w:r>
        <w:rPr>
          <w:rFonts w:ascii="Grundschrift" w:eastAsia="Times New Roman" w:hAnsi="Grundschrift" w:cs="Helvetica"/>
          <w:color w:val="333333"/>
          <w:sz w:val="24"/>
          <w:szCs w:val="24"/>
          <w:lang w:eastAsia="de-DE"/>
        </w:rPr>
        <w:t>und über den eigenen Lernprozess zu reflektieren.</w:t>
      </w:r>
    </w:p>
    <w:p w:rsidR="002607BB" w:rsidRDefault="00240265" w:rsidP="002607BB">
      <w:pPr>
        <w:shd w:val="clear" w:color="auto" w:fill="FFFFFF"/>
        <w:spacing w:after="150" w:line="240" w:lineRule="auto"/>
        <w:rPr>
          <w:rFonts w:ascii="Grundschrift" w:eastAsia="Times New Roman" w:hAnsi="Grundschrift" w:cs="Helvetica"/>
          <w:color w:val="333333"/>
          <w:sz w:val="24"/>
          <w:szCs w:val="24"/>
          <w:lang w:eastAsia="de-DE"/>
        </w:rPr>
      </w:pPr>
      <w:r>
        <w:rPr>
          <w:rFonts w:ascii="Grundschrift" w:eastAsia="Times New Roman" w:hAnsi="Grundschrift" w:cs="Helvetica"/>
          <w:color w:val="333333"/>
          <w:sz w:val="24"/>
          <w:szCs w:val="24"/>
          <w:lang w:eastAsia="de-DE"/>
        </w:rPr>
        <w:t>Die Lehrkräfte</w:t>
      </w:r>
      <w:r w:rsidR="002607BB">
        <w:rPr>
          <w:rFonts w:ascii="Grundschrift" w:eastAsia="Times New Roman" w:hAnsi="Grundschrift" w:cs="Helvetica"/>
          <w:color w:val="333333"/>
          <w:sz w:val="24"/>
          <w:szCs w:val="24"/>
          <w:lang w:eastAsia="de-DE"/>
        </w:rPr>
        <w:t xml:space="preserve"> schaffen Strukturen, um die Schülerinnen und Schüler, ausgehend von ihren Unterrichtsbeobachtungen individualisiert Aufgaben für die Lernzeiten zuzuweisen, sie zu beraten und ihnen so einen geeigneten Lernfortschritt zu ermöglichen.</w:t>
      </w:r>
    </w:p>
    <w:p w:rsidR="002607BB" w:rsidRDefault="002607BB" w:rsidP="002607BB">
      <w:pPr>
        <w:shd w:val="clear" w:color="auto" w:fill="FFFFFF"/>
        <w:spacing w:after="150" w:line="240" w:lineRule="auto"/>
        <w:rPr>
          <w:rFonts w:ascii="Grundschrift" w:eastAsia="Times New Roman" w:hAnsi="Grundschrift" w:cs="Helvetica"/>
          <w:color w:val="333333"/>
          <w:sz w:val="24"/>
          <w:szCs w:val="24"/>
          <w:lang w:eastAsia="de-DE"/>
        </w:rPr>
      </w:pPr>
      <w:r>
        <w:rPr>
          <w:rFonts w:ascii="Grundschrift" w:eastAsia="Times New Roman" w:hAnsi="Grundschrift" w:cs="Helvetica"/>
          <w:color w:val="333333"/>
          <w:sz w:val="24"/>
          <w:szCs w:val="24"/>
          <w:lang w:eastAsia="de-DE"/>
        </w:rPr>
        <w:t xml:space="preserve">Die Kinder werden zum selbstständigen Arbeiten an den eigenen Inhalten angeleitet und hingeführt. Sie lernen, sich zu organisieren, eigene Aufgaben auszuwählen, sich geeignete Ziele für die Lernzeit zu geben, zielgerichtet zu arbeiten und über ihre eigene Arbeitsweise zu reflektieren. </w:t>
      </w:r>
    </w:p>
    <w:p w:rsidR="002607BB" w:rsidRDefault="002607BB" w:rsidP="002607BB">
      <w:pPr>
        <w:shd w:val="clear" w:color="auto" w:fill="FFFFFF"/>
        <w:spacing w:after="150" w:line="240" w:lineRule="auto"/>
        <w:rPr>
          <w:rFonts w:ascii="Grundschrift" w:eastAsia="Times New Roman" w:hAnsi="Grundschrift" w:cs="Helvetica"/>
          <w:color w:val="333333"/>
          <w:sz w:val="24"/>
          <w:szCs w:val="24"/>
          <w:lang w:eastAsia="de-DE"/>
        </w:rPr>
      </w:pPr>
      <w:r>
        <w:rPr>
          <w:rFonts w:ascii="Grundschrift" w:eastAsia="Times New Roman" w:hAnsi="Grundschrift" w:cs="Helvetica"/>
          <w:color w:val="333333"/>
          <w:sz w:val="24"/>
          <w:szCs w:val="24"/>
          <w:lang w:eastAsia="de-DE"/>
        </w:rPr>
        <w:t>Lernzeiten bieten in diesem Sinne zusätzliche Gelegenheiten für individuelle Förderung im Kontext Schule. In Lernzeiten werden neue Wege individualisierten und kooperativen Lernens praktiziert, produktive Formen der Fehlerkultur entfaltet und Möglichkeiten gezielter Hilfestellung durch Lehrkräfte bereitgestellt.</w:t>
      </w:r>
    </w:p>
    <w:p w:rsidR="002607BB" w:rsidRPr="002607BB" w:rsidRDefault="002607BB">
      <w:pPr>
        <w:rPr>
          <w:rFonts w:ascii="Grundschrift" w:hAnsi="Grundschrift" w:cs="Arial"/>
          <w:sz w:val="28"/>
          <w:szCs w:val="28"/>
        </w:rPr>
      </w:pPr>
    </w:p>
    <w:sectPr w:rsidR="002607BB" w:rsidRPr="002607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rundschrift">
    <w:panose1 w:val="03010100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25C6F"/>
    <w:multiLevelType w:val="multilevel"/>
    <w:tmpl w:val="A2449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BB"/>
    <w:rsid w:val="00240265"/>
    <w:rsid w:val="002607BB"/>
    <w:rsid w:val="004B23C9"/>
    <w:rsid w:val="00E00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607BB"/>
    <w:pPr>
      <w:spacing w:after="160" w:line="256"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607BB"/>
    <w:pPr>
      <w:spacing w:after="160"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Kreis Bergstrasse</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Kathrin</dc:creator>
  <cp:lastModifiedBy>Weber, Kathrin</cp:lastModifiedBy>
  <cp:revision>3</cp:revision>
  <dcterms:created xsi:type="dcterms:W3CDTF">2019-05-21T10:28:00Z</dcterms:created>
  <dcterms:modified xsi:type="dcterms:W3CDTF">2019-05-23T05:44:00Z</dcterms:modified>
</cp:coreProperties>
</file>